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Balthazar" w:cs="Balthazar" w:eastAsia="Balthazar" w:hAnsi="Balthazar"/>
          <w:b w:val="1"/>
          <w:color w:val="0070c0"/>
          <w:sz w:val="36"/>
          <w:szCs w:val="36"/>
          <w:rtl w:val="0"/>
        </w:rPr>
        <w:t xml:space="preserve">Primaria Sycamore Lane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61925"/>
                <wp:effectExtent b="0" l="0" r="0" t="0"/>
                <wp:wrapSquare wrapText="bothSides" distB="0" distT="0" distL="0" distR="0"/>
                <wp:docPr descr="https://translate.googleusercontent.com/translate_f"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69800" y="370380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61925"/>
                <wp:effectExtent b="0" l="0" r="0" t="0"/>
                <wp:wrapSquare wrapText="bothSides" distB="0" distT="0" distL="0" distR="0"/>
                <wp:docPr descr="https://translate.googleusercontent.com/translate_f" id="4" name="image2.png"/>
                <a:graphic>
                  <a:graphicData uri="http://schemas.openxmlformats.org/drawingml/2006/picture">
                    <pic:pic>
                      <pic:nvPicPr>
                        <pic:cNvPr descr="https://translate.googleusercontent.com/translate_f"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" cy="161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254000</wp:posOffset>
            </wp:positionH>
            <wp:positionV relativeFrom="paragraph">
              <wp:posOffset>0</wp:posOffset>
            </wp:positionV>
            <wp:extent cx="1333500" cy="1333500"/>
            <wp:effectExtent b="0" l="0" r="0" t="0"/>
            <wp:wrapSquare wrapText="bothSides" distB="0" distT="0" distL="114300" distR="114300"/>
            <wp:docPr descr="Big picture" id="5" name="image1.jpg"/>
            <a:graphic>
              <a:graphicData uri="http://schemas.openxmlformats.org/drawingml/2006/picture">
                <pic:pic>
                  <pic:nvPicPr>
                    <pic:cNvPr descr="Big picture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Fonts w:ascii="Balthazar" w:cs="Balthazar" w:eastAsia="Balthazar" w:hAnsi="Balthazar"/>
          <w:b w:val="1"/>
          <w:color w:val="0070c0"/>
          <w:sz w:val="36"/>
          <w:szCs w:val="36"/>
          <w:rtl w:val="0"/>
        </w:rPr>
        <w:t xml:space="preserve">Política de participación de padres y familias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Fonts w:ascii="Balthazar" w:cs="Balthazar" w:eastAsia="Balthazar" w:hAnsi="Balthazar"/>
          <w:b w:val="1"/>
          <w:color w:val="0070c0"/>
          <w:sz w:val="36"/>
          <w:szCs w:val="36"/>
          <w:rtl w:val="0"/>
        </w:rPr>
        <w:t xml:space="preserve">2020-2021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Fonts w:ascii="Algerian" w:cs="Algerian" w:eastAsia="Algerian" w:hAnsi="Algerian"/>
          <w:color w:val="000000"/>
          <w:sz w:val="36"/>
          <w:szCs w:val="36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La Ley de Educación Secundaria Primaria (ESEA) describe la participación de los padres y la familia como la participación de los padres en una comunicación regular, bidireccional y significativa que involucra el aprendizaje académico de los estudiantes y otras actividades escolares, que incluyen: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Rule="auto"/>
        <w:ind w:left="538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Que los padres jueguen un papel integral en ayudar al aprendizaje de sus hijos;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Rule="auto"/>
        <w:ind w:left="538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Que se anima a los padres a participar activamente en la educación de sus hijos en la escuela;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538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Que los padres sean socios de pleno derecho en la educación de sus hijos y estén incluidos, según corresponda, en la toma de decisiones y en los comités asesores para ayudar en la educación de sus hijos.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4320" w:firstLine="72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Departamento de Educación de EE. UU., Título I, Parte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Sycamore Lane Primary hará lo siguiente: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lineRule="auto"/>
        <w:ind w:left="527" w:firstLine="0"/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Tener representación de los padres en el Equipo de Mejoramiento Escolar (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SIT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) y ser notificado de las reuniones mensuales;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lineRule="auto"/>
        <w:ind w:left="527" w:firstLine="0"/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Comunicarse regularmente a través de Connect 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Ed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, las redes sociales y el sitio web de la escuela de los próximos eventos escolares o con cualquier información sobre los estudiantes y los padres;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lineRule="auto"/>
        <w:ind w:left="527" w:firstLine="0"/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Difundir la competencia y los datos escolares;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lineRule="auto"/>
        <w:ind w:left="527" w:firstLine="0"/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Dar retroalimentación oportuna sobre preguntas e inquietudes con respecto a lo académico de su hijo o cualquier otra necesidad escolar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lineRule="auto"/>
        <w:ind w:left="527" w:firstLine="0"/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Ofrecer recursos para el crecimiento académico, social y emocional de padres y estudiantes;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Rule="auto"/>
        <w:ind w:left="527" w:firstLine="0"/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Cree un pacto de padres con la participación de los padres;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527" w:firstLine="0"/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Proporcione horarios flexibles para reunirse con el personal de la escuela.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Los eventos de participación de los padres y la familia incluirán, entre otros: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lineRule="auto"/>
        <w:ind w:left="527" w:firstLine="0"/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Noches del plan de estudios de lectura, matemáticas, ciencias y 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lineRule="auto"/>
        <w:ind w:left="527" w:firstLine="0"/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Feria del Libro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lineRule="auto"/>
        <w:ind w:left="527" w:firstLine="0"/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Reuniones de PTO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lineRule="auto"/>
        <w:ind w:left="527" w:firstLine="0"/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Noche de información AIG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lineRule="auto"/>
        <w:ind w:left="527" w:firstLine="0"/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Festival de Otoño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527" w:firstLine="0"/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Noche de Publicaciones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lgerian"/>
  <w:font w:name="Balthazar"/>
  <w:font w:name="Noto Sans Symbols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9C5E9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t494x6wiD3VMtTYvzDzJ1PKmKQ==">AMUW2mXI6cDkNBS/6TfdowujPT3wXQUoEuNNX2VOI3EJczC25dFvPLABZ4C5x68GIDf+0xkYEIAJoym9+X/w0om8CEYgVi+ClV3s+dBiGr6tPyGtvEoedRWzU/LvJ4jkRFGt7SgkUzw4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2021-02-16T21:19:00Z</dcterms:created>
  <dc:creator>Kim Brown</dc:creator>
</cp:coreProperties>
</file>